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9"/>
        <w:tblW w:w="98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9857" w:type="dxa"/>
          </w:tcPr>
          <w:p>
            <w:pPr>
              <w:pStyle w:val="25"/>
              <w:tabs>
                <w:tab w:val="right" w:pos="9492"/>
              </w:tabs>
              <w:snapToGrid w:val="0"/>
              <w:rPr>
                <w:sz w:val="22"/>
                <w:szCs w:val="22"/>
                <w:lang w:val="en-US" w:eastAsia="zh-CN"/>
              </w:rPr>
            </w:pPr>
            <w:bookmarkStart w:id="0" w:name="page1"/>
            <w:bookmarkStart w:id="1" w:name="_Toc517077556"/>
            <w:r>
              <w:rPr>
                <w:rFonts w:hint="eastAsia"/>
                <w:sz w:val="22"/>
                <w:szCs w:val="22"/>
              </w:rPr>
              <w:t>3GPP TSG RAN WG1 #110</w:t>
            </w:r>
            <w:r>
              <w:rPr>
                <w:rFonts w:hint="eastAsia" w:eastAsia="宋体"/>
                <w:sz w:val="22"/>
                <w:szCs w:val="22"/>
                <w:lang w:val="en-US" w:eastAsia="zh-CN"/>
              </w:rPr>
              <w:t>bis-e</w:t>
            </w:r>
            <w:r>
              <w:rPr>
                <w:rFonts w:ascii="Times New Roman" w:hAnsi="Times New Roman" w:eastAsia="宋体"/>
                <w:sz w:val="22"/>
                <w:szCs w:val="22"/>
                <w:lang w:eastAsia="zh-CN"/>
              </w:rPr>
              <w:tab/>
            </w:r>
            <w:r>
              <w:rPr>
                <w:sz w:val="22"/>
                <w:szCs w:val="22"/>
              </w:rPr>
              <w:t>R1-</w:t>
            </w:r>
            <w:r>
              <w:rPr>
                <w:rFonts w:hint="eastAsia"/>
                <w:sz w:val="22"/>
                <w:szCs w:val="22"/>
              </w:rPr>
              <w:t>2208761</w:t>
            </w:r>
          </w:p>
          <w:p>
            <w:pPr>
              <w:snapToGrid w:val="0"/>
              <w:rPr>
                <w:rFonts w:ascii="Arial" w:hAnsi="Arial" w:eastAsia="MS Mincho"/>
                <w:b/>
                <w:sz w:val="22"/>
              </w:rPr>
            </w:pPr>
            <w:r>
              <w:rPr>
                <w:rFonts w:hint="eastAsia" w:ascii="Arial" w:hAnsi="Arial" w:eastAsia="宋体"/>
                <w:b/>
                <w:sz w:val="22"/>
                <w:lang w:val="en-US" w:eastAsia="zh-CN"/>
              </w:rPr>
              <w:t>e-meeting</w:t>
            </w:r>
            <w:r>
              <w:rPr>
                <w:rFonts w:hint="eastAsia" w:ascii="Arial" w:hAnsi="Arial"/>
                <w:b/>
                <w:sz w:val="22"/>
              </w:rPr>
              <w:t xml:space="preserve">, </w:t>
            </w:r>
            <w:r>
              <w:rPr>
                <w:rFonts w:hint="eastAsia" w:ascii="Arial" w:hAnsi="Arial" w:eastAsia="宋体"/>
                <w:b/>
                <w:sz w:val="22"/>
                <w:lang w:val="en-US" w:eastAsia="zh-CN"/>
              </w:rPr>
              <w:t>October 10</w:t>
            </w:r>
            <w:r>
              <w:rPr>
                <w:rFonts w:hint="eastAsia" w:ascii="Arial" w:hAnsi="Arial" w:eastAsia="宋体"/>
                <w:b/>
                <w:sz w:val="22"/>
                <w:vertAlign w:val="superscript"/>
                <w:lang w:val="en-US" w:eastAsia="zh-CN"/>
              </w:rPr>
              <w:t>th</w:t>
            </w:r>
            <w:r>
              <w:rPr>
                <w:rFonts w:hint="eastAsia" w:ascii="Arial" w:hAnsi="Arial"/>
                <w:b/>
                <w:sz w:val="22"/>
              </w:rPr>
              <w:t xml:space="preserve"> – </w:t>
            </w:r>
            <w:r>
              <w:rPr>
                <w:rFonts w:hint="eastAsia" w:ascii="Arial" w:hAnsi="Arial" w:eastAsia="宋体"/>
                <w:b/>
                <w:sz w:val="22"/>
                <w:lang w:val="en-US" w:eastAsia="zh-CN"/>
              </w:rPr>
              <w:t>19</w:t>
            </w:r>
            <w:r>
              <w:rPr>
                <w:rFonts w:hint="eastAsia" w:ascii="Arial" w:hAnsi="Arial"/>
                <w:b/>
                <w:sz w:val="22"/>
                <w:vertAlign w:val="superscript"/>
              </w:rPr>
              <w:t>th</w:t>
            </w:r>
            <w:r>
              <w:rPr>
                <w:rFonts w:hint="eastAsia" w:ascii="Arial" w:hAnsi="Arial"/>
                <w:b/>
                <w:sz w:val="22"/>
              </w:rPr>
              <w:t>, 2022</w:t>
            </w:r>
          </w:p>
          <w:tbl>
            <w:tblPr>
              <w:tblStyle w:val="29"/>
              <w:tblW w:w="958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CR-Form-v1</w:t>
                  </w:r>
                  <w:r>
                    <w:rPr>
                      <w:rFonts w:hint="eastAsia" w:ascii="Arial" w:hAnsi="Arial" w:eastAsia="宋体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42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hint="eastAsia" w:ascii="Arial" w:hAnsi="Arial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1</w:t>
                  </w:r>
                  <w:r>
                    <w:rPr>
                      <w:rFonts w:hint="eastAsia" w:ascii="Arial" w:hAnsi="Arial"/>
                      <w:b/>
                      <w:sz w:val="32"/>
                      <w:lang w:val="en-US" w:eastAsia="zh-CN"/>
                    </w:rPr>
                    <w:t>7</w:t>
                  </w: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.</w:t>
                  </w:r>
                  <w:r>
                    <w:rPr>
                      <w:rFonts w:hint="eastAsia" w:ascii="Arial" w:hAnsi="Arial"/>
                      <w:b/>
                      <w:sz w:val="32"/>
                      <w:lang w:val="en-US" w:eastAsia="zh-CN"/>
                    </w:rPr>
                    <w:t>3</w:t>
                  </w:r>
                  <w:r>
                    <w:rPr>
                      <w:rFonts w:hint="eastAsia" w:ascii="Arial" w:hAnsi="Arial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r>
                    <w:fldChar w:fldCharType="begin"/>
                  </w:r>
                  <w:r>
                    <w:instrText xml:space="preserve"> HYPERLINK "http://www.3gpp.org/3G_Specs/CRs.htm" \l "_blank"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HE</w:t>
                  </w:r>
                  <w:bookmarkStart w:id="2" w:name="_Hlt497126619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L</w:t>
                  </w:r>
                  <w:bookmarkEnd w:id="2"/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t>P</w:t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 w:type="textWrapping"/>
                  </w:r>
                  <w:r>
                    <w:fldChar w:fldCharType="begin"/>
                  </w:r>
                  <w:r>
                    <w:instrText xml:space="preserve"> HYPERLINK "http://www.3gpp.org/Change-Requests" </w:instrText>
                  </w:r>
                  <w:r>
                    <w:fldChar w:fldCharType="separate"/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t>http://www.3gpp.org/Change-Requests</w:t>
                  </w:r>
                  <w:r>
                    <w:rPr>
                      <w:rFonts w:ascii="Arial" w:hAnsi="Arial" w:cs="Arial"/>
                      <w:i/>
                      <w:color w:val="0000FF"/>
                      <w:u w:val="single"/>
                    </w:rPr>
                    <w:fldChar w:fldCharType="end"/>
                  </w:r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29"/>
              <w:tblW w:w="963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835" w:type="dxa"/>
                </w:tcPr>
                <w:p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>
            <w:pPr>
              <w:rPr>
                <w:sz w:val="8"/>
                <w:szCs w:val="8"/>
              </w:rPr>
            </w:pPr>
          </w:p>
          <w:tbl>
            <w:tblPr>
              <w:tblStyle w:val="29"/>
              <w:tblW w:w="9641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1263"/>
              <w:gridCol w:w="154"/>
              <w:gridCol w:w="2127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104" w:hRule="atLeast"/>
              </w:trPr>
              <w:tc>
                <w:tcPr>
                  <w:tcW w:w="9641" w:type="dxa"/>
                  <w:gridSpan w:val="11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Draft CR on cross CC power control for unified TCI in TS 38.213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ZTE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R1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NR_feMIMO-Core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eastAsia="zh-CN"/>
                    </w:rPr>
                    <w:t>20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22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30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cantSplit/>
              </w:trPr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/>
                    </w:rPr>
                    <w:t>Rel-</w:t>
                  </w:r>
                  <w:r>
                    <w:rPr>
                      <w:rFonts w:hint="eastAsia" w:ascii="Arial" w:hAnsi="Arial"/>
                      <w:lang w:eastAsia="zh-CN"/>
                    </w:rPr>
                    <w:t>1</w:t>
                  </w:r>
                  <w:r>
                    <w:rPr>
                      <w:rFonts w:hint="eastAsia" w:ascii="Arial" w:hAnsi="Arial"/>
                      <w:lang w:val="en-US" w:eastAsia="zh-CN"/>
                    </w:rPr>
                    <w:t>7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5517" w:type="dxa"/>
                  <w:gridSpan w:val="8"/>
                  <w:tcBorders>
                    <w:bottom w:val="single" w:color="auto" w:sz="4" w:space="0"/>
                  </w:tcBorders>
                </w:tcPr>
                <w:p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sz w:val="18"/>
                    </w:rPr>
                    <w:t xml:space="preserve">be found in 3GPP </w:t>
                  </w:r>
                  <w:r>
                    <w:fldChar w:fldCharType="begin"/>
                  </w:r>
                  <w:r>
                    <w:instrText xml:space="preserve"> HYPERLINK "http://www.3gpp.org/ftp/Specs/html-info/21900.htm" </w:instrText>
                  </w:r>
                  <w:r>
                    <w:fldChar w:fldCharType="separate"/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t>TR 21.900</w:t>
                  </w:r>
                  <w:r>
                    <w:rPr>
                      <w:rFonts w:ascii="Arial" w:hAnsi="Arial"/>
                      <w:color w:val="0000FF"/>
                      <w:sz w:val="18"/>
                      <w:u w:val="single"/>
                    </w:rPr>
                    <w:fldChar w:fldCharType="end"/>
                  </w:r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2281" w:type="dxa"/>
                  <w:gridSpan w:val="2"/>
                  <w:tcBorders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16)</w:t>
                  </w:r>
                  <w:r>
                    <w:rPr>
                      <w:rFonts w:ascii="Arial" w:hAnsi="Arial"/>
                      <w:i/>
                      <w:sz w:val="18"/>
                    </w:rPr>
                    <w:br w:type="textWrapping"/>
                  </w:r>
                  <w:r>
                    <w:rPr>
                      <w:rFonts w:ascii="Arial" w:hAnsi="Arial"/>
                      <w:i/>
                      <w:sz w:val="18"/>
                    </w:rPr>
                    <w:t>Rel-1</w:t>
                  </w:r>
                  <w:r>
                    <w:rPr>
                      <w:rFonts w:hint="eastAsia" w:ascii="Arial" w:hAnsi="Arial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</w:r>
                  <w:r>
                    <w:rPr>
                      <w:rFonts w:ascii="Arial" w:hAnsi="Arial"/>
                      <w:i/>
                      <w:sz w:val="18"/>
                    </w:rPr>
                    <w:t>(Release 1</w:t>
                  </w:r>
                  <w:r>
                    <w:rPr>
                      <w:rFonts w:hint="eastAsia" w:ascii="Arial" w:hAnsi="Arial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>)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numPr>
                      <w:ilvl w:val="0"/>
                      <w:numId w:val="1"/>
                    </w:numPr>
                    <w:snapToGrid w:val="0"/>
                    <w:spacing w:before="72" w:beforeLines="30" w:after="72" w:afterLines="30" w:line="288" w:lineRule="auto"/>
                    <w:ind w:left="200" w:hanging="200" w:hangingChars="100"/>
                    <w:jc w:val="both"/>
                  </w:pPr>
                  <w:r>
                    <w:rPr>
                      <w:rFonts w:hint="eastAsia" w:eastAsia="微软雅黑"/>
                      <w:lang w:val="en-US" w:eastAsia="zh-CN"/>
                    </w:rPr>
                    <w:t xml:space="preserve">Regarding PL-RS in </w:t>
                  </w:r>
                  <w:r>
                    <w:rPr>
                      <w:rFonts w:hint="eastAsia" w:eastAsia="微软雅黑"/>
                    </w:rPr>
                    <w:t>legacy power control scheme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>,</w:t>
                  </w:r>
                  <w:r>
                    <w:rPr>
                      <w:rFonts w:hint="eastAsia" w:eastAsia="微软雅黑"/>
                    </w:rPr>
                    <w:t xml:space="preserve"> </w:t>
                  </w:r>
                  <w:r>
                    <w:t>UE determines a</w:t>
                  </w:r>
                  <w:r>
                    <w:rPr>
                      <w:rFonts w:hint="eastAsia"/>
                      <w:lang w:val="en-US" w:eastAsia="zh-CN"/>
                    </w:rPr>
                    <w:t>n</w:t>
                  </w:r>
                  <w:r>
                    <w:t xml:space="preserve"> RS resource</w:t>
                  </w:r>
                  <w:r>
                    <w:rPr>
                      <w:lang w:val="en-US"/>
                    </w:rPr>
                    <w:t xml:space="preserve"> index</w:t>
                  </w:r>
                  <w: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q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m:ctrlPr>
                      </m:e>
                      <m:sub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d</m:t>
                        </m:r>
                        <m:ctrlPr>
                          <w:rPr>
                            <w:rFonts w:ascii="Cambria Math" w:hAnsi="Cambria Math"/>
                            <w:i/>
                            <w:lang w:val="en-US" w:eastAsia="zh-CN"/>
                          </w:rPr>
                        </m:ctrlPr>
                      </m:sub>
                    </m:sSub>
                  </m:oMath>
                  <w:r>
                    <w:t xml:space="preserve"> with a </w:t>
                  </w:r>
                  <w:r>
                    <w:rPr>
                      <w:rFonts w:eastAsia="MS Mincho"/>
                      <w:i/>
                      <w:lang w:val="en-US"/>
                    </w:rPr>
                    <w:t>PUSCH</w:t>
                  </w:r>
                  <w:r>
                    <w:rPr>
                      <w:rFonts w:eastAsia="MS Mincho"/>
                      <w:i/>
                    </w:rPr>
                    <w:t>-</w:t>
                  </w:r>
                  <w:r>
                    <w:rPr>
                      <w:rFonts w:eastAsia="MS Mincho"/>
                      <w:i/>
                      <w:lang w:val="en-US"/>
                    </w:rPr>
                    <w:t>P</w:t>
                  </w:r>
                  <w:r>
                    <w:rPr>
                      <w:rFonts w:eastAsia="MS Mincho"/>
                      <w:i/>
                    </w:rPr>
                    <w:t>athloss</w:t>
                  </w:r>
                  <w:r>
                    <w:rPr>
                      <w:rFonts w:eastAsia="MS Mincho"/>
                      <w:i/>
                      <w:lang w:val="en-US"/>
                    </w:rPr>
                    <w:t>R</w:t>
                  </w:r>
                  <w:r>
                    <w:rPr>
                      <w:rFonts w:eastAsia="MS Mincho"/>
                      <w:i/>
                    </w:rPr>
                    <w:t>eference</w:t>
                  </w:r>
                  <w:r>
                    <w:rPr>
                      <w:rFonts w:eastAsia="MS Mincho"/>
                      <w:i/>
                      <w:lang w:val="en-US"/>
                    </w:rPr>
                    <w:t>RS</w:t>
                  </w:r>
                  <w:r>
                    <w:rPr>
                      <w:rFonts w:eastAsia="MS Mincho"/>
                      <w:i/>
                    </w:rPr>
                    <w:t>-</w:t>
                  </w:r>
                  <w:r>
                    <w:rPr>
                      <w:rFonts w:eastAsia="MS Mincho"/>
                      <w:i/>
                      <w:lang w:val="en-US"/>
                    </w:rPr>
                    <w:t>Id</w:t>
                  </w:r>
                  <w:r>
                    <w:rPr>
                      <w:rFonts w:eastAsia="MS Mincho"/>
                    </w:rPr>
                    <w:t xml:space="preserve"> </w:t>
                  </w:r>
                  <w:r>
                    <w:t>where the RS resource is either on serving cell</w:t>
                  </w:r>
                  <w:r>
                    <w:rPr>
                      <w:i/>
                    </w:rPr>
                    <w:t xml:space="preserve"> </w:t>
                  </w:r>
                  <m:oMath>
                    <m:r>
                      <w:rPr>
                        <w:rFonts w:ascii="Cambria Math" w:hAnsi="Cambria Math" w:eastAsia="MS Mincho"/>
                        <w:lang w:val="en-US"/>
                      </w:rPr>
                      <m:t>c</m:t>
                    </m:r>
                  </m:oMath>
                  <w:r>
                    <w:rPr>
                      <w:lang w:val="en-US"/>
                    </w:rPr>
                    <w:t xml:space="preserve"> </w:t>
                  </w:r>
                  <w:r>
                    <w:t xml:space="preserve">or, if provided, on a serving cell indicated by a value of </w:t>
                  </w:r>
                  <w:r>
                    <w:rPr>
                      <w:i/>
                      <w:iCs/>
                    </w:rPr>
                    <w:t>pathlossReferenceLinking</w:t>
                  </w:r>
                  <w:r>
                    <w:rPr>
                      <w:rFonts w:hint="eastAsia"/>
                      <w:i/>
                      <w:iCs/>
                      <w:lang w:val="en-US" w:eastAsia="zh-CN"/>
                    </w:rPr>
                    <w:t>.</w:t>
                  </w:r>
                </w:p>
                <w:p>
                  <w:pPr>
                    <w:snapToGrid w:val="0"/>
                    <w:spacing w:before="72" w:beforeLines="30" w:after="72" w:afterLines="30" w:line="288" w:lineRule="auto"/>
                    <w:ind w:left="200" w:leftChars="100"/>
                    <w:jc w:val="both"/>
                  </w:pPr>
                  <w:r>
                    <w:rPr>
                      <w:rFonts w:hint="eastAsia"/>
                      <w:lang w:val="en-US" w:eastAsia="zh-CN"/>
                    </w:rPr>
                    <w:t>Regarding PL-RS for unified TCI state in Rel-17, t</w:t>
                  </w:r>
                  <w:r>
                    <w:rPr>
                      <w:rFonts w:hint="eastAsia" w:eastAsia="微软雅黑"/>
                    </w:rPr>
                    <w:t xml:space="preserve">he parameter </w:t>
                  </w:r>
                  <w:r>
                    <w:rPr>
                      <w:rFonts w:hint="eastAsia"/>
                      <w:i/>
                      <w:iCs/>
                    </w:rPr>
                    <w:t>pathlossReferenceLinking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lang w:val="en-US" w:eastAsia="zh-CN"/>
                    </w:rPr>
                    <w:t>should be reused</w:t>
                  </w:r>
                  <w:r>
                    <w:rPr>
                      <w:lang w:val="en-US" w:eastAsia="zh-CN"/>
                    </w:rPr>
                    <w:t>, otherwise, cross-CC PL-RS configuration can not be supported</w:t>
                  </w:r>
                  <w:r>
                    <w:rPr>
                      <w:rFonts w:hint="eastAsia"/>
                      <w:lang w:val="en-US" w:eastAsia="zh-CN"/>
                    </w:rPr>
                    <w:t xml:space="preserve">. </w:t>
                  </w:r>
                </w:p>
                <w:p>
                  <w:pPr>
                    <w:numPr>
                      <w:ilvl w:val="0"/>
                      <w:numId w:val="1"/>
                    </w:numPr>
                    <w:snapToGrid w:val="0"/>
                    <w:spacing w:before="72" w:beforeLines="30" w:after="72" w:afterLines="30" w:line="288" w:lineRule="auto"/>
                    <w:ind w:left="200" w:hanging="200" w:hangingChars="100"/>
                    <w:jc w:val="both"/>
                    <w:rPr>
                      <w:lang w:val="en-GB" w:eastAsia="en-US"/>
                    </w:rPr>
                  </w:pPr>
                  <w:r>
                    <w:rPr>
                      <w:rFonts w:hint="eastAsia" w:eastAsia="微软雅黑"/>
                      <w:lang w:val="en-US" w:eastAsia="zh-CN"/>
                    </w:rPr>
                    <w:t xml:space="preserve">Note that in legacy power control scheme, if the parameter </w:t>
                  </w:r>
                  <w:r>
                    <w:rPr>
                      <w:rFonts w:hint="eastAsia"/>
                      <w:i/>
                      <w:iCs/>
                    </w:rPr>
                    <w:t>pathlossReferenceLinking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lang w:val="en-US" w:eastAsia="zh-CN"/>
                    </w:rPr>
                    <w:t xml:space="preserve">is not provided, the serving cell </w:t>
                  </w:r>
                  <w:r>
                    <w:rPr>
                      <w:rFonts w:hint="eastAsia"/>
                      <w:i/>
                      <w:iCs/>
                      <w:lang w:val="en-US" w:eastAsia="zh-CN"/>
                    </w:rPr>
                    <w:t>c</w:t>
                  </w:r>
                  <w:r>
                    <w:rPr>
                      <w:rFonts w:hint="eastAsia"/>
                      <w:lang w:val="en-US" w:eastAsia="zh-CN"/>
                    </w:rPr>
                    <w:t xml:space="preserve"> is assumed for CC ID determination for PL-RS.</w:t>
                  </w:r>
                  <w:r>
                    <w:rPr>
                      <w:lang w:val="en-US" w:eastAsia="zh-CN"/>
                    </w:rPr>
                    <w:t xml:space="preserve"> In Rel-15/16, it is clear that </w:t>
                  </w:r>
                  <w:r>
                    <w:rPr>
                      <w:rFonts w:hint="eastAsia"/>
                      <w:lang w:val="en-US" w:eastAsia="zh-CN"/>
                    </w:rPr>
                    <w:t xml:space="preserve"> the CC which the PUSCH transmission is carried on (similar to Rel-17 TCI state applied CC)</w:t>
                  </w:r>
                  <w:r>
                    <w:rPr>
                      <w:lang w:val="en-US" w:eastAsia="zh-CN"/>
                    </w:rPr>
                    <w:t xml:space="preserve"> is the same as </w:t>
                  </w:r>
                  <w:r>
                    <w:rPr>
                      <w:rFonts w:hint="eastAsia"/>
                      <w:lang w:val="en-US" w:eastAsia="zh-CN"/>
                    </w:rPr>
                    <w:t xml:space="preserve">the CC </w:t>
                  </w:r>
                  <w:r>
                    <w:rPr>
                      <w:lang w:val="en-US" w:eastAsia="zh-CN"/>
                    </w:rPr>
                    <w:t>where</w:t>
                  </w:r>
                  <w:r>
                    <w:rPr>
                      <w:rFonts w:hint="eastAsia"/>
                      <w:lang w:val="en-US" w:eastAsia="zh-CN"/>
                    </w:rPr>
                    <w:t xml:space="preserve"> the SRI is configured (similar to Rel-17 TCI state configured CC). However, in Rel-17, the TCI state applied CC may be not same as TCI state configured CC. It needs to specify</w:t>
                  </w:r>
                  <w:r>
                    <w:rPr>
                      <w:lang w:val="en-US" w:eastAsia="zh-CN"/>
                    </w:rPr>
                    <w:t xml:space="preserve"> “</w:t>
                  </w:r>
                  <w:r>
                    <w:rPr>
                      <w:rFonts w:hint="eastAsia"/>
                      <w:lang w:val="en-US" w:eastAsia="zh-CN"/>
                    </w:rPr>
                    <w:t>TCI state applied CC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 xml:space="preserve"> or </w:t>
                  </w:r>
                  <w:r>
                    <w:rPr>
                      <w:lang w:val="en-US" w:eastAsia="zh-CN"/>
                    </w:rPr>
                    <w:t>“</w:t>
                  </w:r>
                  <w:r>
                    <w:rPr>
                      <w:rFonts w:hint="eastAsia"/>
                      <w:lang w:val="en-US" w:eastAsia="zh-CN"/>
                    </w:rPr>
                    <w:t>TCI state configured CC</w:t>
                  </w:r>
                  <w:r>
                    <w:rPr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lang w:val="en-US" w:eastAsia="zh-CN"/>
                    </w:rPr>
                    <w:t xml:space="preserve"> when t</w:t>
                  </w:r>
                  <w:r>
                    <w:rPr>
                      <w:rFonts w:hint="eastAsia" w:eastAsia="微软雅黑"/>
                    </w:rPr>
                    <w:t xml:space="preserve">he parameter </w:t>
                  </w:r>
                  <w:r>
                    <w:rPr>
                      <w:rFonts w:hint="eastAsia"/>
                      <w:i/>
                      <w:iCs/>
                    </w:rPr>
                    <w:t>pathlossReferenceLinking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/>
                      <w:lang w:val="en-US" w:eastAsia="zh-CN"/>
                    </w:rPr>
                    <w:t xml:space="preserve">is not provided to address </w:t>
                  </w:r>
                  <w:r>
                    <w:rPr>
                      <w:lang w:val="en-US" w:eastAsia="zh-CN"/>
                    </w:rPr>
                    <w:t>the above ambiguity</w:t>
                  </w:r>
                  <w:r>
                    <w:rPr>
                      <w:rFonts w:hint="eastAsia"/>
                      <w:lang w:val="en-US" w:eastAsia="zh-CN"/>
                    </w:rPr>
                    <w:t>.</w:t>
                  </w:r>
                </w:p>
                <w:p>
                  <w:pPr>
                    <w:pStyle w:val="101"/>
                    <w:numPr>
                      <w:ilvl w:val="0"/>
                      <w:numId w:val="2"/>
                    </w:numPr>
                    <w:snapToGrid w:val="0"/>
                    <w:spacing w:before="72" w:beforeLines="30" w:after="72" w:afterLines="30" w:line="288" w:lineRule="auto"/>
                    <w:ind w:left="600" w:hanging="360" w:firstLineChars="0"/>
                    <w:jc w:val="both"/>
                  </w:pPr>
                  <w:r>
                    <w:t>In our views, “</w:t>
                  </w:r>
                  <w:r>
                    <w:rPr>
                      <w:rFonts w:hint="eastAsia"/>
                    </w:rPr>
                    <w:t>TCI state configured CC</w:t>
                  </w:r>
                  <w:r>
                    <w:t>”</w:t>
                  </w:r>
                  <w:r>
                    <w:rPr>
                      <w:rFonts w:hint="eastAsia"/>
                    </w:rPr>
                    <w:t xml:space="preserve"> leads to lower burden for UE measuring PL compared with </w:t>
                  </w:r>
                  <w:r>
                    <w:t>“</w:t>
                  </w:r>
                  <w:r>
                    <w:rPr>
                      <w:rFonts w:hint="eastAsia"/>
                    </w:rPr>
                    <w:t>TCI state applied CC</w:t>
                  </w:r>
                  <w:r>
                    <w:t>”</w:t>
                  </w:r>
                  <w:r>
                    <w:rPr>
                      <w:rFonts w:hint="eastAsia"/>
                    </w:rPr>
                    <w:t xml:space="preserve">, and is more aligned with concept of common TCI state pool among multiple CCs. We suggest to adopt </w:t>
                  </w:r>
                  <w:r>
                    <w:t>“</w:t>
                  </w:r>
                  <w:r>
                    <w:rPr>
                      <w:rFonts w:hint="eastAsia"/>
                    </w:rPr>
                    <w:t>TCI state configured CC</w:t>
                  </w:r>
                  <w:r>
                    <w:t>”</w:t>
                  </w:r>
                  <w:r>
                    <w:rPr>
                      <w:rFonts w:hint="eastAsia"/>
                    </w:rPr>
                    <w:t xml:space="preserve">. </w:t>
                  </w:r>
                </w:p>
                <w:p>
                  <w:pPr>
                    <w:numPr>
                      <w:ilvl w:val="0"/>
                      <w:numId w:val="1"/>
                    </w:numPr>
                    <w:snapToGrid w:val="0"/>
                    <w:spacing w:before="72" w:beforeLines="30" w:after="72" w:afterLines="30" w:line="288" w:lineRule="auto"/>
                    <w:ind w:left="200" w:hanging="200" w:hangingChars="100"/>
                    <w:jc w:val="both"/>
                    <w:rPr>
                      <w:rFonts w:eastAsia="宋体"/>
                      <w:iCs/>
                      <w:lang w:val="en-US" w:eastAsia="zh-CN"/>
                    </w:rPr>
                  </w:pPr>
                  <w:r>
                    <w:rPr>
                      <w:rFonts w:hint="eastAsia" w:eastAsia="微软雅黑"/>
                      <w:lang w:val="en-US" w:eastAsia="zh-CN"/>
                    </w:rPr>
                    <w:t>A</w:t>
                  </w:r>
                  <w:r>
                    <w:rPr>
                      <w:rFonts w:hint="eastAsia" w:eastAsia="微软雅黑"/>
                    </w:rPr>
                    <w:t xml:space="preserve">ccording to TS 38.331h10, </w:t>
                  </w:r>
                  <w:r>
                    <w:rPr>
                      <w:rFonts w:hint="eastAsia"/>
                    </w:rPr>
                    <w:t xml:space="preserve">RAN2 has decided that </w:t>
                  </w:r>
                  <w:r>
                    <w:rPr>
                      <w:rFonts w:hint="eastAsia" w:eastAsia="微软雅黑"/>
                    </w:rPr>
                    <w:t>PL-RS is included in the indicated TCI state, instead of bein</w:t>
                  </w:r>
                  <w:r>
                    <w:rPr>
                      <w:rFonts w:eastAsia="微软雅黑"/>
                    </w:rPr>
                    <w:t xml:space="preserve">g </w:t>
                  </w:r>
                  <w:r>
                    <w:rPr>
                      <w:rFonts w:hint="eastAsia" w:eastAsia="微软雅黑"/>
                    </w:rPr>
                    <w:t xml:space="preserve">associated with the indicated TCI state..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 w:eastAsia="宋体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hint="eastAsia" w:ascii="Arial" w:hAnsi="Arial" w:eastAsia="宋体"/>
                      <w:b/>
                      <w:i/>
                      <w:sz w:val="8"/>
                      <w:szCs w:val="8"/>
                      <w:lang w:val="en-US"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numPr>
                      <w:ilvl w:val="0"/>
                      <w:numId w:val="3"/>
                    </w:numPr>
                    <w:snapToGrid w:val="0"/>
                    <w:spacing w:before="72" w:beforeLines="30" w:after="72" w:afterLines="30" w:line="288" w:lineRule="auto"/>
                    <w:jc w:val="both"/>
                  </w:pPr>
                  <w:r>
                    <w:rPr>
                      <w:rFonts w:hint="eastAsia"/>
                    </w:rPr>
                    <w:t xml:space="preserve">Clarifying that the CC of PL-RS </w:t>
                  </w:r>
                  <w:r>
                    <w:rPr>
                      <w:rFonts w:hint="eastAsia" w:eastAsia="微软雅黑"/>
                    </w:rPr>
                    <w:t>for an indicated TCI state can be the CC on which the indicated TCI state is configured, or</w:t>
                  </w:r>
                  <w:r>
                    <w:t>, if provided, on a</w:t>
                  </w:r>
                  <w:r>
                    <w:rPr>
                      <w:rFonts w:hint="eastAsia"/>
                    </w:rPr>
                    <w:t xml:space="preserve"> CC</w:t>
                  </w:r>
                  <w:r>
                    <w:t xml:space="preserve"> indicated by a value of </w:t>
                  </w:r>
                  <w:r>
                    <w:rPr>
                      <w:i/>
                      <w:iCs/>
                    </w:rPr>
                    <w:t>pathlossReferenceLinking</w:t>
                  </w:r>
                  <w:r>
                    <w:rPr>
                      <w:rFonts w:hint="eastAsia" w:eastAsia="微软雅黑"/>
                    </w:rPr>
                    <w:t xml:space="preserve">. </w:t>
                  </w:r>
                </w:p>
                <w:p>
                  <w:pPr>
                    <w:numPr>
                      <w:ilvl w:val="0"/>
                      <w:numId w:val="3"/>
                    </w:numPr>
                    <w:snapToGrid w:val="0"/>
                    <w:spacing w:before="72" w:beforeLines="30" w:after="72" w:afterLines="30" w:line="288" w:lineRule="auto"/>
                    <w:jc w:val="both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 w:eastAsia="微软雅黑"/>
                    </w:rPr>
                    <w:t xml:space="preserve">Removing the </w:t>
                  </w:r>
                  <w:r>
                    <w:rPr>
                      <w:rFonts w:eastAsia="微软雅黑"/>
                    </w:rPr>
                    <w:t>pending</w:t>
                  </w:r>
                  <w:r>
                    <w:rPr>
                      <w:rFonts w:hint="eastAsia" w:eastAsia="微软雅黑"/>
                    </w:rPr>
                    <w:t xml:space="preserve"> case that PL-RS </w:t>
                  </w:r>
                  <w:r>
                    <w:rPr>
                      <w:rFonts w:eastAsia="微软雅黑"/>
                    </w:rPr>
                    <w:t xml:space="preserve">is </w:t>
                  </w:r>
                  <w:r>
                    <w:rPr>
                      <w:rFonts w:hint="eastAsia" w:eastAsia="微软雅黑"/>
                    </w:rPr>
                    <w:t>associated with the indicated TCI state.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numPr>
                      <w:ilvl w:val="0"/>
                      <w:numId w:val="4"/>
                    </w:numPr>
                    <w:snapToGrid w:val="0"/>
                    <w:spacing w:before="72" w:beforeLines="30" w:after="72" w:afterLines="30" w:line="288" w:lineRule="auto"/>
                    <w:jc w:val="both"/>
                  </w:pPr>
                  <w:r>
                    <w:rPr>
                      <w:rFonts w:hint="eastAsia" w:eastAsia="微软雅黑"/>
                    </w:rPr>
                    <w:t>PL-RS for an indicated TCI state cannot support cross carrier indication. That means</w:t>
                  </w:r>
                  <w:r>
                    <w:rPr>
                      <w:rFonts w:eastAsia="微软雅黑"/>
                    </w:rPr>
                    <w:t xml:space="preserve"> that</w:t>
                  </w:r>
                  <w:r>
                    <w:rPr>
                      <w:rFonts w:hint="eastAsia" w:eastAsia="微软雅黑"/>
                    </w:rPr>
                    <w:t xml:space="preserve"> each CC which has TCI state pool configuration </w:t>
                  </w:r>
                  <w:r>
                    <w:rPr>
                      <w:rFonts w:eastAsia="微软雅黑"/>
                    </w:rPr>
                    <w:t xml:space="preserve">should have individual </w:t>
                  </w:r>
                  <w:r>
                    <w:rPr>
                      <w:rFonts w:hint="eastAsia" w:eastAsia="微软雅黑"/>
                    </w:rPr>
                    <w:t>RS configuration</w:t>
                  </w:r>
                  <w:r>
                    <w:rPr>
                      <w:rFonts w:eastAsia="微软雅黑"/>
                    </w:rPr>
                    <w:t>s</w:t>
                  </w:r>
                  <w:r>
                    <w:rPr>
                      <w:rFonts w:hint="eastAsia" w:eastAsia="微软雅黑"/>
                    </w:rPr>
                    <w:t xml:space="preserve"> for PL measurement, without flexibility of parameter </w:t>
                  </w:r>
                  <w:r>
                    <w:rPr>
                      <w:rFonts w:hint="eastAsia"/>
                      <w:i/>
                      <w:iCs/>
                    </w:rPr>
                    <w:t>pathlossReferenceLinking</w:t>
                  </w:r>
                  <w:r>
                    <w:rPr>
                      <w:rFonts w:hint="eastAsia"/>
                    </w:rPr>
                    <w:t xml:space="preserve"> for Rel-15/16 which can indicate a PCell or a SCell. </w:t>
                  </w:r>
                </w:p>
                <w:p>
                  <w:pPr>
                    <w:pStyle w:val="100"/>
                    <w:numPr>
                      <w:ilvl w:val="0"/>
                      <w:numId w:val="4"/>
                    </w:numPr>
                    <w:snapToGrid w:val="0"/>
                    <w:spacing w:before="60" w:beforeLines="25" w:after="60" w:afterLines="25" w:line="300" w:lineRule="auto"/>
                    <w:ind w:firstLine="0" w:firstLineChars="0"/>
                    <w:jc w:val="both"/>
                    <w:rPr>
                      <w:rFonts w:eastAsia="宋体"/>
                      <w:lang w:val="en-US" w:eastAsia="zh-CN"/>
                    </w:rPr>
                  </w:pPr>
                  <w:r>
                    <w:t>There is m</w:t>
                  </w:r>
                  <w:r>
                    <w:rPr>
                      <w:rFonts w:hint="eastAsia"/>
                    </w:rPr>
                    <w:t>isalignment between descriptions of TS38.213 and TS38.331</w:t>
                  </w:r>
                  <w:r>
                    <w:t>, regarding the inclusion of PL-RS in the indicated TCI state</w:t>
                  </w:r>
                  <w:r>
                    <w:rPr>
                      <w:rFonts w:hint="eastAsia"/>
                    </w:rPr>
                    <w:t xml:space="preserve">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hint="eastAsia" w:ascii="Arial" w:hAnsi="Arial"/>
                      <w:lang w:val="en-US" w:eastAsia="zh-CN"/>
                    </w:rPr>
                    <w:t>7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251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hint="eastAsia"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195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97"/>
                    <w:spacing w:after="0"/>
                    <w:ind w:left="100"/>
                  </w:pPr>
                  <w:r>
                    <w:rPr>
                      <w:rFonts w:hint="eastAsia" w:ascii="Times New Roman" w:hAnsi="Times New Roman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t>Th</w:t>
                  </w:r>
                  <w:r>
                    <w:rPr>
                      <w:rFonts w:hint="eastAsia" w:eastAsia="宋体"/>
                      <w:lang w:val="en-US" w:eastAsia="zh-CN"/>
                    </w:rPr>
                    <w:t>e</w:t>
                  </w:r>
                  <w:r>
                    <w:t xml:space="preserve"> CR </w:t>
                  </w:r>
                  <w:r>
                    <w:rPr>
                      <w:rFonts w:hint="eastAsia" w:eastAsia="宋体"/>
                      <w:lang w:val="en-US" w:eastAsia="zh-CN"/>
                    </w:rPr>
                    <w:t>aim</w:t>
                  </w:r>
                  <w:r>
                    <w:rPr>
                      <w:rFonts w:eastAsia="宋体"/>
                      <w:lang w:val="en-US" w:eastAsia="zh-CN"/>
                    </w:rPr>
                    <w:t>s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 to clarify the UE </w:t>
                  </w:r>
                  <w:r>
                    <w:rPr>
                      <w:rFonts w:eastAsia="宋体"/>
                      <w:lang w:val="en-US" w:eastAsia="zh-CN"/>
                    </w:rPr>
                    <w:t>behavior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 on 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 xml:space="preserve">how to determine CC ID for PL-RS. </w:t>
                  </w:r>
                  <w:r>
                    <w:rPr>
                      <w:rFonts w:eastAsia="微软雅黑"/>
                    </w:rPr>
                    <w:t xml:space="preserve">The proposed clarification is 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>essential for a unified TCI state power control scheme.</w:t>
                  </w:r>
                  <w:r>
                    <w:rPr>
                      <w:rFonts w:eastAsia="微软雅黑"/>
                    </w:rPr>
                    <w:t xml:space="preserve"> </w:t>
                  </w:r>
                  <w:r>
                    <w:rPr>
                      <w:rFonts w:hint="eastAsia" w:eastAsia="微软雅黑"/>
                      <w:lang w:val="en-US" w:eastAsia="zh-CN"/>
                    </w:rPr>
                    <w:t>I</w:t>
                  </w:r>
                  <w:r>
                    <w:rPr>
                      <w:rFonts w:hint="eastAsia"/>
                    </w:rPr>
                    <w:t xml:space="preserve">t is expected UEs and networks </w:t>
                  </w:r>
                  <w:r>
                    <w:t>have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hint="eastAsia" w:eastAsia="宋体"/>
                      <w:lang w:val="en-US" w:eastAsia="zh-CN"/>
                    </w:rPr>
                    <w:t xml:space="preserve">same understanding for </w:t>
                  </w:r>
                  <w:r>
                    <w:rPr>
                      <w:rFonts w:hint="eastAsia"/>
                    </w:rPr>
                    <w:t>implement</w:t>
                  </w:r>
                  <w:r>
                    <w:rPr>
                      <w:rFonts w:hint="eastAsia"/>
                      <w:lang w:val="en-US" w:eastAsia="zh-CN"/>
                    </w:rPr>
                    <w:t>ation on this function.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hint="eastAsia" w:ascii="Arial" w:hAnsi="Arial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>his CR's revision history</w:t>
                  </w:r>
                  <w:r>
                    <w:rPr>
                      <w:rFonts w:hint="eastAsia" w:ascii="Arial" w:hAnsi="Arial" w:eastAsia="宋体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/>
        </w:tc>
      </w:tr>
    </w:tbl>
    <w:p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  <w:bookmarkEnd w:id="0"/>
      <w:bookmarkEnd w:id="1"/>
      <w:bookmarkStart w:id="3" w:name="_Toc524727095"/>
    </w:p>
    <w:bookmarkEnd w:id="3"/>
    <w:p>
      <w:pPr>
        <w:snapToGrid w:val="0"/>
        <w:spacing w:before="72" w:beforeLines="30" w:after="72" w:afterLines="30" w:line="288" w:lineRule="auto"/>
        <w:jc w:val="both"/>
        <w:rPr>
          <w:rFonts w:eastAsia="宋体"/>
          <w:bCs/>
          <w:color w:val="FF0000"/>
          <w:szCs w:val="22"/>
          <w:lang w:val="en-US" w:eastAsia="zh-CN"/>
        </w:rPr>
      </w:pPr>
    </w:p>
    <w:p>
      <w:pPr>
        <w:pStyle w:val="4"/>
        <w:ind w:left="414" w:hanging="414"/>
        <w:rPr>
          <w:lang w:val="en-US" w:eastAsia="zh-CN"/>
        </w:rPr>
      </w:pPr>
      <w:r>
        <w:rPr>
          <w:lang w:val="en-US" w:eastAsia="zh-CN"/>
        </w:rPr>
        <w:t>7</w:t>
      </w:r>
      <w:r>
        <w:rPr>
          <w:lang w:val="en-US" w:eastAsia="zh-CN"/>
        </w:rPr>
        <w:tab/>
      </w:r>
      <w:r>
        <w:rPr>
          <w:lang w:val="en-US" w:eastAsia="zh-CN"/>
        </w:rPr>
        <w:t>Uplink Power control</w:t>
      </w:r>
    </w:p>
    <w:p>
      <w:pPr>
        <w:spacing w:after="200" w:line="276" w:lineRule="auto"/>
        <w:jc w:val="center"/>
        <w:rPr>
          <w:rFonts w:eastAsia="宋体"/>
          <w:bCs/>
          <w:color w:val="FF0000"/>
          <w:sz w:val="22"/>
          <w:szCs w:val="28"/>
          <w:lang w:val="en-US" w:eastAsia="zh-CN"/>
        </w:rPr>
      </w:pPr>
      <w:r>
        <w:rPr>
          <w:rFonts w:eastAsia="宋体"/>
          <w:bCs/>
          <w:color w:val="FF0000"/>
          <w:sz w:val="22"/>
          <w:szCs w:val="28"/>
          <w:lang w:val="en-US" w:eastAsia="zh-CN"/>
        </w:rPr>
        <w:t>&lt;</w:t>
      </w:r>
      <w:r>
        <w:rPr>
          <w:rFonts w:hint="eastAsia" w:eastAsia="宋体"/>
          <w:bCs/>
          <w:color w:val="FF0000"/>
          <w:sz w:val="22"/>
          <w:szCs w:val="28"/>
          <w:lang w:val="en-US" w:eastAsia="zh-CN"/>
        </w:rPr>
        <w:t>Unchanged</w:t>
      </w:r>
      <w:r>
        <w:rPr>
          <w:rFonts w:eastAsia="宋体"/>
          <w:bCs/>
          <w:color w:val="FF0000"/>
          <w:sz w:val="22"/>
          <w:szCs w:val="28"/>
          <w:lang w:val="en-US" w:eastAsia="zh-CN"/>
        </w:rPr>
        <w:t xml:space="preserve"> part</w:t>
      </w:r>
      <w:r>
        <w:rPr>
          <w:rFonts w:hint="eastAsia" w:eastAsia="宋体"/>
          <w:bCs/>
          <w:color w:val="FF0000"/>
          <w:sz w:val="22"/>
          <w:szCs w:val="28"/>
          <w:lang w:val="en-US" w:eastAsia="zh-CN"/>
        </w:rPr>
        <w:t xml:space="preserve"> omitted</w:t>
      </w:r>
      <w:r>
        <w:rPr>
          <w:rFonts w:eastAsia="宋体"/>
          <w:bCs/>
          <w:color w:val="FF0000"/>
          <w:sz w:val="22"/>
          <w:szCs w:val="28"/>
          <w:lang w:val="en-US" w:eastAsia="zh-CN"/>
        </w:rPr>
        <w:t>&gt;</w:t>
      </w:r>
    </w:p>
    <w:p>
      <w:pPr>
        <w:spacing w:line="240" w:lineRule="auto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In the remaining of this clause, if a UE is provided </w:t>
      </w:r>
      <w:r>
        <w:rPr>
          <w:rFonts w:eastAsia="宋体" w:cs="Times"/>
          <w:i/>
          <w:iCs/>
          <w:szCs w:val="18"/>
          <w:lang w:eastAsia="zh-CN"/>
        </w:rPr>
        <w:t>TCIState</w:t>
      </w:r>
      <w:r>
        <w:rPr>
          <w:rFonts w:eastAsia="宋体" w:cs="Times"/>
          <w:iCs/>
          <w:szCs w:val="18"/>
          <w:lang w:eastAsia="zh-CN"/>
        </w:rPr>
        <w:t xml:space="preserve"> in</w:t>
      </w:r>
      <w:r>
        <w:rPr>
          <w:rFonts w:eastAsia="宋体"/>
        </w:rPr>
        <w:t xml:space="preserve"> </w:t>
      </w:r>
      <w:r>
        <w:rPr>
          <w:rFonts w:eastAsia="宋体" w:cs="Times"/>
          <w:i/>
          <w:szCs w:val="18"/>
          <w:lang w:eastAsia="zh-CN"/>
        </w:rPr>
        <w:t>dl-OrJoint-TCIStateList</w:t>
      </w:r>
      <w:r>
        <w:rPr>
          <w:rFonts w:eastAsia="宋体" w:cs="Times"/>
          <w:iCs/>
          <w:szCs w:val="18"/>
          <w:lang w:eastAsia="zh-CN"/>
        </w:rPr>
        <w:t xml:space="preserve"> </w:t>
      </w:r>
      <w:r>
        <w:rPr>
          <w:rFonts w:eastAsia="宋体" w:cs="Times"/>
          <w:iCs/>
          <w:szCs w:val="18"/>
          <w:lang w:val="en-US" w:eastAsia="zh-CN"/>
        </w:rPr>
        <w:t>or</w:t>
      </w:r>
      <w:r>
        <w:rPr>
          <w:rFonts w:eastAsia="宋体"/>
          <w:lang w:val="en-US"/>
        </w:rPr>
        <w:t xml:space="preserve"> </w:t>
      </w:r>
      <w:r>
        <w:rPr>
          <w:rFonts w:eastAsia="宋体"/>
          <w:i/>
          <w:iCs/>
          <w:lang w:val="en-US"/>
        </w:rPr>
        <w:t>UL-TCIstate</w:t>
      </w:r>
      <w:r>
        <w:rPr>
          <w:rFonts w:eastAsia="宋体"/>
          <w:lang w:eastAsia="ko-KR"/>
        </w:rPr>
        <w:t xml:space="preserve"> and for an indicated </w:t>
      </w:r>
      <w:r>
        <w:rPr>
          <w:rFonts w:eastAsia="宋体" w:cs="Times"/>
          <w:i/>
          <w:iCs/>
          <w:szCs w:val="18"/>
          <w:lang w:eastAsia="zh-CN"/>
        </w:rPr>
        <w:t>TCIState</w:t>
      </w:r>
      <w:r>
        <w:rPr>
          <w:rFonts w:eastAsia="宋体" w:cs="Times"/>
          <w:iCs/>
          <w:szCs w:val="18"/>
          <w:lang w:eastAsia="zh-CN"/>
        </w:rPr>
        <w:t xml:space="preserve"> </w:t>
      </w:r>
      <w:r>
        <w:rPr>
          <w:rFonts w:eastAsia="宋体" w:cs="Times"/>
          <w:iCs/>
          <w:szCs w:val="18"/>
          <w:lang w:val="en-US" w:eastAsia="zh-CN"/>
        </w:rPr>
        <w:t>or</w:t>
      </w:r>
      <w:r>
        <w:rPr>
          <w:rFonts w:eastAsia="宋体"/>
          <w:lang w:val="en-US"/>
        </w:rPr>
        <w:t xml:space="preserve"> </w:t>
      </w:r>
      <w:r>
        <w:rPr>
          <w:rFonts w:eastAsia="宋体"/>
          <w:i/>
          <w:iCs/>
          <w:lang w:val="en-US"/>
        </w:rPr>
        <w:t>UL-TCIstate</w:t>
      </w:r>
      <w:r>
        <w:rPr>
          <w:rFonts w:eastAsia="宋体"/>
          <w:lang w:val="en-US"/>
        </w:rPr>
        <w:t xml:space="preserve"> as described in [6, TS 38.214]</w:t>
      </w:r>
      <w:r>
        <w:rPr>
          <w:rFonts w:eastAsia="宋体"/>
          <w:lang w:eastAsia="ko-KR"/>
        </w:rPr>
        <w:t xml:space="preserve"> </w:t>
      </w:r>
    </w:p>
    <w:p>
      <w:pPr>
        <w:ind w:left="568" w:hanging="284"/>
        <w:rPr>
          <w:rFonts w:eastAsia="宋体"/>
          <w:lang w:val="en-US" w:eastAsia="zh-CN"/>
        </w:rPr>
      </w:pPr>
      <w:r>
        <w:rPr>
          <w:rFonts w:eastAsia="宋体"/>
          <w:lang w:val="en-US"/>
        </w:rPr>
        <w:t>-</w:t>
      </w:r>
      <w:r>
        <w:rPr>
          <w:rFonts w:eastAsia="宋体"/>
          <w:lang w:val="en-US"/>
        </w:rPr>
        <w:tab/>
      </w:r>
      <w:r>
        <w:rPr>
          <w:rFonts w:eastAsia="宋体"/>
          <w:lang w:val="en-US"/>
        </w:rPr>
        <w:t xml:space="preserve">in clauses 7.1.1, 7.2.1, and 7.3.1, the RS index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  <m:ctrlPr>
              <w:rPr>
                <w:rFonts w:ascii="Cambria Math" w:hAnsi="Cambria Math"/>
                <w:iCs/>
              </w:rPr>
            </m:ctrlPr>
          </m:e>
          <m:sub>
            <m:r>
              <w:rPr>
                <w:rFonts w:ascii="Cambria Math"/>
              </w:rPr>
              <m:t>d</m:t>
            </m:r>
            <m:ctrlPr>
              <w:rPr>
                <w:rFonts w:ascii="Cambria Math" w:hAnsi="Cambria Math"/>
                <w:iCs/>
              </w:rPr>
            </m:ctrlPr>
          </m:sub>
        </m:sSub>
      </m:oMath>
      <w:r>
        <w:rPr>
          <w:rFonts w:eastAsia="宋体"/>
          <w:iCs/>
          <w:lang w:val="en-US"/>
        </w:rPr>
        <w:t xml:space="preserve"> for obtaining the downlink pathloss estimate for PUSCH, PUCCH, and SRS transmission is provided by </w:t>
      </w:r>
      <w:r>
        <w:rPr>
          <w:rFonts w:eastAsia="宋体"/>
          <w:i/>
          <w:iCs/>
          <w:color w:val="FF0000"/>
        </w:rPr>
        <w:t>pathlossReferenceRS-Id-r17</w:t>
      </w:r>
      <w:r>
        <w:rPr>
          <w:rFonts w:eastAsia="宋体"/>
          <w:i/>
          <w:iCs/>
          <w:color w:val="FF0000"/>
          <w:lang w:val="en-US"/>
        </w:rPr>
        <w:t xml:space="preserve"> </w:t>
      </w:r>
      <w:r>
        <w:rPr>
          <w:rFonts w:eastAsia="宋体"/>
          <w:i/>
          <w:strike/>
          <w:color w:val="FF0000"/>
          <w:lang w:val="en-US"/>
        </w:rPr>
        <w:t>PL-RS</w:t>
      </w:r>
      <w:r>
        <w:rPr>
          <w:rFonts w:eastAsia="宋体"/>
          <w:iCs/>
          <w:strike/>
          <w:color w:val="FF0000"/>
          <w:lang w:val="en-US"/>
        </w:rPr>
        <w:t xml:space="preserve"> associated with or included</w:t>
      </w:r>
      <w:r>
        <w:rPr>
          <w:rFonts w:eastAsia="宋体"/>
          <w:iCs/>
          <w:lang w:val="en-US"/>
        </w:rPr>
        <w:t xml:space="preserve"> in the </w:t>
      </w:r>
      <w:r>
        <w:rPr>
          <w:rFonts w:eastAsia="宋体"/>
          <w:lang w:val="en-US" w:eastAsia="ko-KR"/>
        </w:rPr>
        <w:t xml:space="preserve">indicated </w:t>
      </w:r>
      <w:r>
        <w:rPr>
          <w:rFonts w:eastAsia="宋体" w:cs="Times"/>
          <w:i/>
          <w:iCs/>
          <w:szCs w:val="18"/>
          <w:lang w:val="en-US" w:eastAsia="zh-CN"/>
        </w:rPr>
        <w:t>TCIState</w:t>
      </w:r>
      <w:r>
        <w:rPr>
          <w:rFonts w:eastAsia="宋体" w:cs="Times"/>
          <w:iCs/>
          <w:szCs w:val="18"/>
          <w:lang w:val="en-US" w:eastAsia="zh-CN"/>
        </w:rPr>
        <w:t xml:space="preserve"> or</w:t>
      </w:r>
      <w:r>
        <w:rPr>
          <w:rFonts w:eastAsia="宋体"/>
          <w:lang w:val="en-US"/>
        </w:rPr>
        <w:t xml:space="preserve"> </w:t>
      </w:r>
      <w:r>
        <w:rPr>
          <w:rFonts w:eastAsia="宋体"/>
          <w:i/>
          <w:iCs/>
          <w:lang w:val="en-US"/>
        </w:rPr>
        <w:t>UL-TCIstate</w:t>
      </w:r>
      <w:r>
        <w:rPr>
          <w:rFonts w:eastAsia="宋体"/>
          <w:lang w:val="en-US"/>
        </w:rPr>
        <w:t xml:space="preserve"> except for SRS transmission that is not provided </w:t>
      </w:r>
      <w:r>
        <w:rPr>
          <w:rFonts w:eastAsia="宋体"/>
          <w:i/>
          <w:iCs/>
          <w:lang w:val="en-US"/>
        </w:rPr>
        <w:t>followUnifiedTCIstateSRS</w:t>
      </w:r>
      <w:r>
        <w:rPr>
          <w:rFonts w:hint="eastAsia" w:eastAsia="宋体"/>
          <w:i/>
          <w:iCs/>
          <w:lang w:val="en-US" w:eastAsia="zh-CN"/>
        </w:rPr>
        <w:t xml:space="preserve"> </w:t>
      </w:r>
      <w:r>
        <w:rPr>
          <w:rFonts w:hint="eastAsia" w:eastAsia="宋体"/>
          <w:color w:val="FF0000"/>
          <w:lang w:val="en-US" w:eastAsia="zh-CN"/>
        </w:rPr>
        <w:t>on</w:t>
      </w:r>
      <w:r>
        <w:rPr>
          <w:rFonts w:eastAsia="宋体"/>
          <w:color w:val="FF0000"/>
          <w:lang w:val="en-US" w:eastAsia="zh-CN"/>
        </w:rPr>
        <w:t xml:space="preserve"> a </w:t>
      </w:r>
      <w:r>
        <w:rPr>
          <w:rFonts w:hint="eastAsia" w:eastAsia="宋体"/>
          <w:color w:val="FF0000"/>
          <w:lang w:val="en-US" w:eastAsia="zh-CN"/>
        </w:rPr>
        <w:t xml:space="preserve">serving cell </w:t>
      </w:r>
      <w:r>
        <w:rPr>
          <w:rFonts w:hint="eastAsia" w:eastAsia="微软雅黑"/>
          <w:color w:val="FF0000"/>
          <w:lang w:val="en-US" w:eastAsia="zh-CN"/>
        </w:rPr>
        <w:t>on which the indicated TCI state is configured, or</w:t>
      </w:r>
      <w:r>
        <w:rPr>
          <w:rFonts w:eastAsia="宋体"/>
          <w:color w:val="FF0000"/>
        </w:rPr>
        <w:t>, if provided, on a</w:t>
      </w:r>
      <w:r>
        <w:rPr>
          <w:rFonts w:hint="eastAsia" w:eastAsia="宋体"/>
          <w:color w:val="FF0000"/>
          <w:lang w:val="en-US" w:eastAsia="zh-CN"/>
        </w:rPr>
        <w:t xml:space="preserve"> serving cell </w:t>
      </w:r>
      <w:r>
        <w:rPr>
          <w:rFonts w:eastAsia="宋体"/>
          <w:color w:val="FF0000"/>
        </w:rPr>
        <w:t xml:space="preserve">indicated by a value of </w:t>
      </w:r>
      <w:r>
        <w:rPr>
          <w:rFonts w:eastAsia="宋体"/>
          <w:i/>
          <w:iCs/>
          <w:color w:val="FF0000"/>
        </w:rPr>
        <w:t>pathlossReferenceLinking</w:t>
      </w:r>
      <w:bookmarkStart w:id="4" w:name="_GoBack"/>
      <w:bookmarkEnd w:id="4"/>
    </w:p>
    <w:p>
      <w:pPr>
        <w:snapToGrid w:val="0"/>
        <w:spacing w:before="72" w:beforeLines="30" w:after="72" w:afterLines="30" w:line="288" w:lineRule="auto"/>
        <w:jc w:val="center"/>
        <w:rPr>
          <w:rFonts w:eastAsia="宋体"/>
          <w:bCs/>
          <w:color w:val="FF0000"/>
          <w:sz w:val="22"/>
          <w:szCs w:val="28"/>
          <w:lang w:val="en-US" w:eastAsia="zh-CN"/>
        </w:rPr>
      </w:pPr>
      <w:r>
        <w:rPr>
          <w:rFonts w:eastAsia="宋体"/>
          <w:bCs/>
          <w:color w:val="FF0000"/>
          <w:sz w:val="22"/>
          <w:szCs w:val="28"/>
          <w:lang w:val="en-US" w:eastAsia="zh-CN"/>
        </w:rPr>
        <w:t>&lt;</w:t>
      </w:r>
      <w:r>
        <w:rPr>
          <w:rFonts w:hint="eastAsia" w:eastAsia="宋体"/>
          <w:bCs/>
          <w:color w:val="FF0000"/>
          <w:sz w:val="22"/>
          <w:szCs w:val="28"/>
          <w:lang w:val="en-US" w:eastAsia="zh-CN"/>
        </w:rPr>
        <w:t>Unchanged</w:t>
      </w:r>
      <w:r>
        <w:rPr>
          <w:rFonts w:eastAsia="宋体"/>
          <w:bCs/>
          <w:color w:val="FF0000"/>
          <w:sz w:val="22"/>
          <w:szCs w:val="28"/>
          <w:lang w:val="en-US" w:eastAsia="zh-CN"/>
        </w:rPr>
        <w:t xml:space="preserve"> part</w:t>
      </w:r>
      <w:r>
        <w:rPr>
          <w:rFonts w:hint="eastAsia" w:eastAsia="宋体"/>
          <w:bCs/>
          <w:color w:val="FF0000"/>
          <w:sz w:val="22"/>
          <w:szCs w:val="28"/>
          <w:lang w:val="en-US" w:eastAsia="zh-CN"/>
        </w:rPr>
        <w:t xml:space="preserve"> omitted</w:t>
      </w:r>
      <w:r>
        <w:rPr>
          <w:rFonts w:eastAsia="宋体"/>
          <w:bCs/>
          <w:color w:val="FF0000"/>
          <w:sz w:val="22"/>
          <w:szCs w:val="28"/>
          <w:lang w:val="en-US" w:eastAsia="zh-CN"/>
        </w:rPr>
        <w:t>&gt;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Segoe Print"/>
    <w:panose1 w:val="02020609040205080304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6F1D470"/>
    <w:multiLevelType w:val="singleLevel"/>
    <w:tmpl w:val="96F1D47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364E8BE"/>
    <w:multiLevelType w:val="singleLevel"/>
    <w:tmpl w:val="1364E8BE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49C4D7AA"/>
    <w:multiLevelType w:val="singleLevel"/>
    <w:tmpl w:val="49C4D7AA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712912B8"/>
    <w:multiLevelType w:val="multilevel"/>
    <w:tmpl w:val="712912B8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1BFA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519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4EA7"/>
    <w:rsid w:val="000F53C0"/>
    <w:rsid w:val="000F618B"/>
    <w:rsid w:val="000F66EB"/>
    <w:rsid w:val="000F70E1"/>
    <w:rsid w:val="000F798C"/>
    <w:rsid w:val="00100B24"/>
    <w:rsid w:val="00105253"/>
    <w:rsid w:val="00107637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97E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05F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4392"/>
    <w:rsid w:val="00305DB7"/>
    <w:rsid w:val="0030605C"/>
    <w:rsid w:val="00307A99"/>
    <w:rsid w:val="00307F7F"/>
    <w:rsid w:val="00310C36"/>
    <w:rsid w:val="00310F0F"/>
    <w:rsid w:val="00315219"/>
    <w:rsid w:val="00315C65"/>
    <w:rsid w:val="003172DC"/>
    <w:rsid w:val="0031778D"/>
    <w:rsid w:val="00320B02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BC3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5053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9CD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6AA9"/>
    <w:rsid w:val="00430FF4"/>
    <w:rsid w:val="004312A1"/>
    <w:rsid w:val="00441CA6"/>
    <w:rsid w:val="00441D5B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C799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579D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1EF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7077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2AD0"/>
    <w:rsid w:val="0067370A"/>
    <w:rsid w:val="0067393F"/>
    <w:rsid w:val="00674854"/>
    <w:rsid w:val="00674D86"/>
    <w:rsid w:val="00677374"/>
    <w:rsid w:val="00680599"/>
    <w:rsid w:val="006822D3"/>
    <w:rsid w:val="006825FE"/>
    <w:rsid w:val="006844C8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2ECE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00A"/>
    <w:rsid w:val="006F5298"/>
    <w:rsid w:val="006F5747"/>
    <w:rsid w:val="006F5BD2"/>
    <w:rsid w:val="006F6955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4F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D7EF4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67A8"/>
    <w:rsid w:val="00807F27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3A9A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258"/>
    <w:rsid w:val="008F076D"/>
    <w:rsid w:val="008F10D1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1BB5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F8C"/>
    <w:rsid w:val="009222F5"/>
    <w:rsid w:val="00922370"/>
    <w:rsid w:val="00923035"/>
    <w:rsid w:val="009245FE"/>
    <w:rsid w:val="00925B7B"/>
    <w:rsid w:val="009273B5"/>
    <w:rsid w:val="009275C3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94FD2"/>
    <w:rsid w:val="009A0325"/>
    <w:rsid w:val="009A1728"/>
    <w:rsid w:val="009A2075"/>
    <w:rsid w:val="009A55F2"/>
    <w:rsid w:val="009A7A6A"/>
    <w:rsid w:val="009B0384"/>
    <w:rsid w:val="009B171F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1CB6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793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44C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E68B3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4EB"/>
    <w:rsid w:val="00B17A00"/>
    <w:rsid w:val="00B20A7F"/>
    <w:rsid w:val="00B21788"/>
    <w:rsid w:val="00B220DD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B69A6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220F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1BEE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1D3D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629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676A"/>
    <w:rsid w:val="00E675E5"/>
    <w:rsid w:val="00E67EDD"/>
    <w:rsid w:val="00E7468E"/>
    <w:rsid w:val="00E74BAD"/>
    <w:rsid w:val="00E76DA6"/>
    <w:rsid w:val="00E77513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721D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772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876404"/>
    <w:rsid w:val="068A1EF0"/>
    <w:rsid w:val="07934B2B"/>
    <w:rsid w:val="0A0755EB"/>
    <w:rsid w:val="0A14690A"/>
    <w:rsid w:val="0A94279E"/>
    <w:rsid w:val="0DE87143"/>
    <w:rsid w:val="0ECC19ED"/>
    <w:rsid w:val="0F4C6470"/>
    <w:rsid w:val="0FBF7C97"/>
    <w:rsid w:val="1012400F"/>
    <w:rsid w:val="10693D4D"/>
    <w:rsid w:val="11D33814"/>
    <w:rsid w:val="12482B2A"/>
    <w:rsid w:val="13E43582"/>
    <w:rsid w:val="141C22C6"/>
    <w:rsid w:val="14F84E5D"/>
    <w:rsid w:val="153A7664"/>
    <w:rsid w:val="15C06FE1"/>
    <w:rsid w:val="17FB0E88"/>
    <w:rsid w:val="18F826AA"/>
    <w:rsid w:val="19232F6D"/>
    <w:rsid w:val="194E11F5"/>
    <w:rsid w:val="19AD24B5"/>
    <w:rsid w:val="19F52782"/>
    <w:rsid w:val="1B9E0801"/>
    <w:rsid w:val="1D3F0BA6"/>
    <w:rsid w:val="1F6E6901"/>
    <w:rsid w:val="20566B5F"/>
    <w:rsid w:val="208E5DED"/>
    <w:rsid w:val="20ED4FA2"/>
    <w:rsid w:val="212B6D13"/>
    <w:rsid w:val="23827F9C"/>
    <w:rsid w:val="248912D3"/>
    <w:rsid w:val="27643C06"/>
    <w:rsid w:val="288E5F0C"/>
    <w:rsid w:val="28A9508B"/>
    <w:rsid w:val="2AE056CD"/>
    <w:rsid w:val="2B16343C"/>
    <w:rsid w:val="2C40544D"/>
    <w:rsid w:val="2CF4639F"/>
    <w:rsid w:val="2F4331F7"/>
    <w:rsid w:val="311055CD"/>
    <w:rsid w:val="331E7918"/>
    <w:rsid w:val="34DC3115"/>
    <w:rsid w:val="34DE36F8"/>
    <w:rsid w:val="355E699C"/>
    <w:rsid w:val="36313BD5"/>
    <w:rsid w:val="367539B6"/>
    <w:rsid w:val="37E27222"/>
    <w:rsid w:val="38CC5611"/>
    <w:rsid w:val="391B15C9"/>
    <w:rsid w:val="39314900"/>
    <w:rsid w:val="394E60CF"/>
    <w:rsid w:val="39E85175"/>
    <w:rsid w:val="3A6B6D12"/>
    <w:rsid w:val="3AB820F3"/>
    <w:rsid w:val="3AD357C9"/>
    <w:rsid w:val="3AF442B2"/>
    <w:rsid w:val="3BE11E86"/>
    <w:rsid w:val="3CAF2BE8"/>
    <w:rsid w:val="3CE61AB4"/>
    <w:rsid w:val="3D44443D"/>
    <w:rsid w:val="3DA972DC"/>
    <w:rsid w:val="3E5E05B0"/>
    <w:rsid w:val="3E6A364B"/>
    <w:rsid w:val="3F0E1B3B"/>
    <w:rsid w:val="42D1423A"/>
    <w:rsid w:val="43F86579"/>
    <w:rsid w:val="48171897"/>
    <w:rsid w:val="48AC6CE1"/>
    <w:rsid w:val="4903168F"/>
    <w:rsid w:val="49F93A93"/>
    <w:rsid w:val="4B5731C2"/>
    <w:rsid w:val="4BDD53E7"/>
    <w:rsid w:val="4C330596"/>
    <w:rsid w:val="4C561EB6"/>
    <w:rsid w:val="4DB23A73"/>
    <w:rsid w:val="4DCE51B0"/>
    <w:rsid w:val="4FB326DC"/>
    <w:rsid w:val="504C74BF"/>
    <w:rsid w:val="50A91DDB"/>
    <w:rsid w:val="51701338"/>
    <w:rsid w:val="519024BC"/>
    <w:rsid w:val="52070A6F"/>
    <w:rsid w:val="526027FE"/>
    <w:rsid w:val="5275755B"/>
    <w:rsid w:val="52D8118B"/>
    <w:rsid w:val="530614C2"/>
    <w:rsid w:val="55706A41"/>
    <w:rsid w:val="55941389"/>
    <w:rsid w:val="583230F0"/>
    <w:rsid w:val="59CB1151"/>
    <w:rsid w:val="5A565AE9"/>
    <w:rsid w:val="5B4A323A"/>
    <w:rsid w:val="5D3C193A"/>
    <w:rsid w:val="5D856CA9"/>
    <w:rsid w:val="5DF97BA3"/>
    <w:rsid w:val="5E20773E"/>
    <w:rsid w:val="5E2B477C"/>
    <w:rsid w:val="5E4C6E24"/>
    <w:rsid w:val="5F265699"/>
    <w:rsid w:val="5FEB3E9D"/>
    <w:rsid w:val="616A3C8C"/>
    <w:rsid w:val="618974E6"/>
    <w:rsid w:val="651A02FF"/>
    <w:rsid w:val="66BE5475"/>
    <w:rsid w:val="66D32CD7"/>
    <w:rsid w:val="68FB6C10"/>
    <w:rsid w:val="68FC660F"/>
    <w:rsid w:val="69243203"/>
    <w:rsid w:val="69356F89"/>
    <w:rsid w:val="6A0842AB"/>
    <w:rsid w:val="6ABC408D"/>
    <w:rsid w:val="6B273E2B"/>
    <w:rsid w:val="6B592C5E"/>
    <w:rsid w:val="6C505DC1"/>
    <w:rsid w:val="6DA73D70"/>
    <w:rsid w:val="6F3A4556"/>
    <w:rsid w:val="70A43229"/>
    <w:rsid w:val="71B7066F"/>
    <w:rsid w:val="71F8061A"/>
    <w:rsid w:val="72D556E1"/>
    <w:rsid w:val="739079F5"/>
    <w:rsid w:val="739D26E8"/>
    <w:rsid w:val="73D37CE0"/>
    <w:rsid w:val="75283C4F"/>
    <w:rsid w:val="7622115D"/>
    <w:rsid w:val="773859A8"/>
    <w:rsid w:val="778005EE"/>
    <w:rsid w:val="787D4B82"/>
    <w:rsid w:val="78FC5CC7"/>
    <w:rsid w:val="79B87599"/>
    <w:rsid w:val="79ED2FFA"/>
    <w:rsid w:val="7C8353A1"/>
    <w:rsid w:val="7E3D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iPriority="99" w:semiHidden="0" w:name="List"/>
    <w:lsdException w:uiPriority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79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8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82"/>
    <w:qFormat/>
    <w:uiPriority w:val="0"/>
    <w:pPr>
      <w:outlineLvl w:val="5"/>
    </w:pPr>
  </w:style>
  <w:style w:type="paragraph" w:styleId="9">
    <w:name w:val="heading 7"/>
    <w:basedOn w:val="8"/>
    <w:next w:val="1"/>
    <w:link w:val="83"/>
    <w:qFormat/>
    <w:uiPriority w:val="0"/>
    <w:pPr>
      <w:outlineLvl w:val="6"/>
    </w:pPr>
  </w:style>
  <w:style w:type="paragraph" w:styleId="10">
    <w:name w:val="heading 8"/>
    <w:basedOn w:val="2"/>
    <w:next w:val="1"/>
    <w:link w:val="8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85"/>
    <w:qFormat/>
    <w:uiPriority w:val="0"/>
    <w:pPr>
      <w:outlineLvl w:val="8"/>
    </w:pPr>
  </w:style>
  <w:style w:type="character" w:default="1" w:styleId="31">
    <w:name w:val="Default Paragraph Font"/>
    <w:semiHidden/>
    <w:unhideWhenUsed/>
    <w:qFormat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Document Map"/>
    <w:basedOn w:val="1"/>
    <w:link w:val="71"/>
    <w:qFormat/>
    <w:uiPriority w:val="0"/>
    <w:rPr>
      <w:rFonts w:ascii="宋体"/>
      <w:sz w:val="18"/>
      <w:szCs w:val="18"/>
    </w:rPr>
  </w:style>
  <w:style w:type="paragraph" w:styleId="20">
    <w:name w:val="annotation text"/>
    <w:basedOn w:val="1"/>
    <w:link w:val="75"/>
    <w:qFormat/>
    <w:uiPriority w:val="0"/>
  </w:style>
  <w:style w:type="paragraph" w:styleId="21">
    <w:name w:val="Body Text"/>
    <w:basedOn w:val="1"/>
    <w:link w:val="93"/>
    <w:qFormat/>
    <w:uiPriority w:val="0"/>
    <w:pPr>
      <w:spacing w:after="120"/>
      <w:ind w:left="1440" w:hanging="1440"/>
      <w:jc w:val="both"/>
    </w:pPr>
    <w:rPr>
      <w:rFonts w:ascii="Times" w:hAnsi="Times" w:eastAsia="Batang"/>
      <w:szCs w:val="24"/>
    </w:r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72"/>
    <w:qFormat/>
    <w:uiPriority w:val="0"/>
    <w:pPr>
      <w:spacing w:after="0"/>
    </w:pPr>
    <w:rPr>
      <w:sz w:val="18"/>
      <w:szCs w:val="18"/>
    </w:rPr>
  </w:style>
  <w:style w:type="paragraph" w:styleId="24">
    <w:name w:val="footer"/>
    <w:basedOn w:val="25"/>
    <w:link w:val="87"/>
    <w:qFormat/>
    <w:uiPriority w:val="0"/>
    <w:pPr>
      <w:jc w:val="center"/>
    </w:pPr>
    <w:rPr>
      <w:i/>
    </w:rPr>
  </w:style>
  <w:style w:type="paragraph" w:styleId="25">
    <w:name w:val="header"/>
    <w:basedOn w:val="1"/>
    <w:link w:val="8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26">
    <w:name w:val="List"/>
    <w:basedOn w:val="1"/>
    <w:unhideWhenUsed/>
    <w:qFormat/>
    <w:uiPriority w:val="99"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27">
    <w:name w:val="toc 9"/>
    <w:basedOn w:val="22"/>
    <w:next w:val="1"/>
    <w:semiHidden/>
    <w:qFormat/>
    <w:uiPriority w:val="0"/>
    <w:pPr>
      <w:ind w:left="1418" w:hanging="1418"/>
    </w:pPr>
  </w:style>
  <w:style w:type="paragraph" w:styleId="28">
    <w:name w:val="annotation subject"/>
    <w:basedOn w:val="20"/>
    <w:next w:val="20"/>
    <w:link w:val="77"/>
    <w:qFormat/>
    <w:uiPriority w:val="0"/>
    <w:rPr>
      <w:b/>
      <w:bCs/>
    </w:rPr>
  </w:style>
  <w:style w:type="table" w:styleId="30">
    <w:name w:val="Table Grid"/>
    <w:basedOn w:val="2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2">
    <w:name w:val="Strong"/>
    <w:qFormat/>
    <w:uiPriority w:val="0"/>
    <w:rPr>
      <w:b/>
      <w:bCs/>
    </w:rPr>
  </w:style>
  <w:style w:type="character" w:styleId="33">
    <w:name w:val="Emphasis"/>
    <w:qFormat/>
    <w:uiPriority w:val="20"/>
    <w:rPr>
      <w:i/>
      <w:iCs/>
    </w:rPr>
  </w:style>
  <w:style w:type="character" w:styleId="34">
    <w:name w:val="Hyperlink"/>
    <w:qFormat/>
    <w:uiPriority w:val="99"/>
    <w:rPr>
      <w:color w:val="0000FF"/>
      <w:u w:val="single"/>
    </w:rPr>
  </w:style>
  <w:style w:type="character" w:styleId="35">
    <w:name w:val="annotation reference"/>
    <w:qFormat/>
    <w:uiPriority w:val="99"/>
    <w:rPr>
      <w:sz w:val="21"/>
      <w:szCs w:val="21"/>
    </w:rPr>
  </w:style>
  <w:style w:type="paragraph" w:customStyle="1" w:styleId="3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7">
    <w:name w:val="ZGSM"/>
    <w:qFormat/>
    <w:uiPriority w:val="0"/>
  </w:style>
  <w:style w:type="paragraph" w:customStyle="1" w:styleId="38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9">
    <w:name w:val="TT"/>
    <w:basedOn w:val="2"/>
    <w:next w:val="1"/>
    <w:qFormat/>
    <w:uiPriority w:val="0"/>
    <w:pPr>
      <w:outlineLvl w:val="9"/>
    </w:pPr>
  </w:style>
  <w:style w:type="paragraph" w:customStyle="1" w:styleId="40">
    <w:name w:val="NF"/>
    <w:basedOn w:val="4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1">
    <w:name w:val="NO"/>
    <w:basedOn w:val="1"/>
    <w:qFormat/>
    <w:uiPriority w:val="0"/>
    <w:pPr>
      <w:keepLines/>
      <w:ind w:left="1135" w:hanging="851"/>
    </w:pPr>
  </w:style>
  <w:style w:type="paragraph" w:customStyle="1" w:styleId="4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3">
    <w:name w:val="TAR"/>
    <w:basedOn w:val="44"/>
    <w:qFormat/>
    <w:uiPriority w:val="0"/>
    <w:pPr>
      <w:jc w:val="right"/>
    </w:pPr>
  </w:style>
  <w:style w:type="paragraph" w:customStyle="1" w:styleId="44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5">
    <w:name w:val="TAH"/>
    <w:basedOn w:val="46"/>
    <w:link w:val="90"/>
    <w:qFormat/>
    <w:uiPriority w:val="0"/>
    <w:rPr>
      <w:b/>
    </w:rPr>
  </w:style>
  <w:style w:type="paragraph" w:customStyle="1" w:styleId="46">
    <w:name w:val="TAC"/>
    <w:basedOn w:val="44"/>
    <w:link w:val="89"/>
    <w:qFormat/>
    <w:uiPriority w:val="0"/>
    <w:pPr>
      <w:jc w:val="center"/>
    </w:pPr>
  </w:style>
  <w:style w:type="paragraph" w:customStyle="1" w:styleId="47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8">
    <w:name w:val="EX"/>
    <w:basedOn w:val="1"/>
    <w:qFormat/>
    <w:uiPriority w:val="0"/>
    <w:pPr>
      <w:keepLines/>
      <w:ind w:left="1702" w:hanging="1418"/>
    </w:pPr>
  </w:style>
  <w:style w:type="paragraph" w:customStyle="1" w:styleId="49">
    <w:name w:val="FP"/>
    <w:basedOn w:val="1"/>
    <w:qFormat/>
    <w:uiPriority w:val="0"/>
    <w:pPr>
      <w:spacing w:after="0"/>
    </w:pPr>
  </w:style>
  <w:style w:type="paragraph" w:customStyle="1" w:styleId="50">
    <w:name w:val="NW"/>
    <w:basedOn w:val="41"/>
    <w:qFormat/>
    <w:uiPriority w:val="0"/>
    <w:pPr>
      <w:spacing w:after="0"/>
    </w:pPr>
  </w:style>
  <w:style w:type="paragraph" w:customStyle="1" w:styleId="51">
    <w:name w:val="EW"/>
    <w:basedOn w:val="48"/>
    <w:qFormat/>
    <w:uiPriority w:val="0"/>
    <w:pPr>
      <w:spacing w:after="0"/>
    </w:pPr>
  </w:style>
  <w:style w:type="paragraph" w:customStyle="1" w:styleId="52">
    <w:name w:val="B1"/>
    <w:basedOn w:val="26"/>
    <w:link w:val="73"/>
    <w:qFormat/>
    <w:uiPriority w:val="99"/>
    <w:pPr>
      <w:ind w:left="568" w:hanging="284"/>
    </w:pPr>
  </w:style>
  <w:style w:type="paragraph" w:customStyle="1" w:styleId="53">
    <w:name w:val="Editor's Note"/>
    <w:basedOn w:val="41"/>
    <w:qFormat/>
    <w:uiPriority w:val="0"/>
    <w:rPr>
      <w:color w:val="FF0000"/>
    </w:rPr>
  </w:style>
  <w:style w:type="paragraph" w:customStyle="1" w:styleId="54">
    <w:name w:val="TH"/>
    <w:basedOn w:val="1"/>
    <w:link w:val="7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TAN"/>
    <w:basedOn w:val="44"/>
    <w:qFormat/>
    <w:uiPriority w:val="0"/>
    <w:pPr>
      <w:ind w:left="851" w:hanging="851"/>
    </w:p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TF"/>
    <w:basedOn w:val="54"/>
    <w:qFormat/>
    <w:uiPriority w:val="0"/>
    <w:pPr>
      <w:keepNext w:val="0"/>
      <w:spacing w:before="0" w:after="240"/>
    </w:pPr>
  </w:style>
  <w:style w:type="paragraph" w:customStyle="1" w:styleId="62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3">
    <w:name w:val="B2"/>
    <w:basedOn w:val="1"/>
    <w:link w:val="96"/>
    <w:qFormat/>
    <w:uiPriority w:val="0"/>
    <w:pPr>
      <w:ind w:left="851" w:hanging="284"/>
    </w:pPr>
  </w:style>
  <w:style w:type="paragraph" w:customStyle="1" w:styleId="64">
    <w:name w:val="B3"/>
    <w:basedOn w:val="1"/>
    <w:link w:val="99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ZV"/>
    <w:basedOn w:val="58"/>
    <w:qFormat/>
    <w:uiPriority w:val="0"/>
    <w:pPr>
      <w:framePr w:y="16161"/>
    </w:pPr>
  </w:style>
  <w:style w:type="paragraph" w:customStyle="1" w:styleId="69">
    <w:name w:val="TAJ"/>
    <w:basedOn w:val="54"/>
    <w:qFormat/>
    <w:uiPriority w:val="0"/>
  </w:style>
  <w:style w:type="paragraph" w:customStyle="1" w:styleId="70">
    <w:name w:val="Guidance"/>
    <w:basedOn w:val="1"/>
    <w:qFormat/>
    <w:uiPriority w:val="0"/>
    <w:rPr>
      <w:i/>
      <w:color w:val="0000FF"/>
    </w:rPr>
  </w:style>
  <w:style w:type="character" w:customStyle="1" w:styleId="71">
    <w:name w:val="Document Map Char"/>
    <w:link w:val="19"/>
    <w:qFormat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72">
    <w:name w:val="Balloon Text Char"/>
    <w:link w:val="23"/>
    <w:qFormat/>
    <w:uiPriority w:val="0"/>
    <w:rPr>
      <w:sz w:val="18"/>
      <w:szCs w:val="18"/>
      <w:lang w:val="en-GB" w:eastAsia="en-US"/>
    </w:rPr>
  </w:style>
  <w:style w:type="character" w:customStyle="1" w:styleId="73">
    <w:name w:val="B1 Char1"/>
    <w:link w:val="52"/>
    <w:qFormat/>
    <w:uiPriority w:val="0"/>
    <w:rPr>
      <w:lang w:val="en-GB" w:eastAsia="en-US"/>
    </w:rPr>
  </w:style>
  <w:style w:type="character" w:customStyle="1" w:styleId="74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75">
    <w:name w:val="Comment Text Char"/>
    <w:link w:val="20"/>
    <w:qFormat/>
    <w:uiPriority w:val="0"/>
    <w:rPr>
      <w:lang w:val="en-GB" w:eastAsia="en-US"/>
    </w:rPr>
  </w:style>
  <w:style w:type="character" w:customStyle="1" w:styleId="76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77">
    <w:name w:val="Comment Subject Char"/>
    <w:link w:val="28"/>
    <w:qFormat/>
    <w:uiPriority w:val="0"/>
    <w:rPr>
      <w:b/>
      <w:bCs/>
      <w:lang w:val="en-GB" w:eastAsia="en-US"/>
    </w:rPr>
  </w:style>
  <w:style w:type="character" w:customStyle="1" w:styleId="78">
    <w:name w:val="TH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79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0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1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8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8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84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85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86">
    <w:name w:val="Header Char"/>
    <w:link w:val="25"/>
    <w:qFormat/>
    <w:uiPriority w:val="0"/>
    <w:rPr>
      <w:rFonts w:ascii="Arial" w:hAnsi="Arial"/>
      <w:b/>
      <w:sz w:val="18"/>
      <w:lang w:val="en-GB" w:eastAsia="ja-JP" w:bidi="ar-SA"/>
    </w:rPr>
  </w:style>
  <w:style w:type="character" w:customStyle="1" w:styleId="87">
    <w:name w:val="Footer Char"/>
    <w:link w:val="24"/>
    <w:qFormat/>
    <w:uiPriority w:val="0"/>
    <w:rPr>
      <w:rFonts w:ascii="Arial" w:hAnsi="Arial"/>
      <w:b/>
      <w:i/>
      <w:sz w:val="18"/>
      <w:lang w:val="en-GB" w:eastAsia="ja-JP"/>
    </w:rPr>
  </w:style>
  <w:style w:type="paragraph" w:customStyle="1" w:styleId="8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9">
    <w:name w:val="TAC Char"/>
    <w:link w:val="4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92">
    <w:name w:val="TAL Car"/>
    <w:link w:val="44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Body Text Char"/>
    <w:link w:val="21"/>
    <w:qFormat/>
    <w:uiPriority w:val="0"/>
    <w:rPr>
      <w:rFonts w:ascii="Times" w:hAnsi="Times" w:eastAsia="Batang"/>
      <w:szCs w:val="24"/>
      <w:lang w:val="en-GB" w:eastAsia="en-US"/>
    </w:rPr>
  </w:style>
  <w:style w:type="paragraph" w:customStyle="1" w:styleId="94">
    <w:name w:val="List Paragraph1"/>
    <w:basedOn w:val="1"/>
    <w:link w:val="95"/>
    <w:qFormat/>
    <w:uiPriority w:val="34"/>
    <w:pPr>
      <w:ind w:left="800" w:leftChars="400"/>
    </w:pPr>
    <w:rPr>
      <w:rFonts w:eastAsia="Malgun Gothic"/>
    </w:rPr>
  </w:style>
  <w:style w:type="character" w:customStyle="1" w:styleId="95">
    <w:name w:val="List Paragraph Char"/>
    <w:link w:val="94"/>
    <w:qFormat/>
    <w:uiPriority w:val="34"/>
    <w:rPr>
      <w:rFonts w:eastAsia="Malgun Gothic"/>
      <w:lang w:val="en-GB" w:eastAsia="en-US"/>
    </w:rPr>
  </w:style>
  <w:style w:type="character" w:customStyle="1" w:styleId="96">
    <w:name w:val="B2 Char"/>
    <w:link w:val="63"/>
    <w:qFormat/>
    <w:locked/>
    <w:uiPriority w:val="0"/>
    <w:rPr>
      <w:lang w:val="en-GB" w:eastAsia="en-US"/>
    </w:rPr>
  </w:style>
  <w:style w:type="paragraph" w:customStyle="1" w:styleId="97">
    <w:name w:val="CR Cover Page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98">
    <w:name w:val="B1 Zchn"/>
    <w:qFormat/>
    <w:uiPriority w:val="0"/>
    <w:rPr>
      <w:lang w:eastAsia="en-US"/>
    </w:rPr>
  </w:style>
  <w:style w:type="character" w:customStyle="1" w:styleId="99">
    <w:name w:val="B3 Char"/>
    <w:link w:val="64"/>
    <w:qFormat/>
    <w:uiPriority w:val="0"/>
    <w:rPr>
      <w:lang w:val="en-GB" w:eastAsia="en-US"/>
    </w:rPr>
  </w:style>
  <w:style w:type="paragraph" w:customStyle="1" w:styleId="100">
    <w:name w:val="List Paragraph2"/>
    <w:basedOn w:val="1"/>
    <w:qFormat/>
    <w:uiPriority w:val="99"/>
    <w:pPr>
      <w:ind w:firstLine="420" w:firstLineChars="200"/>
    </w:pPr>
  </w:style>
  <w:style w:type="paragraph" w:styleId="101">
    <w:name w:val="List Paragraph"/>
    <w:basedOn w:val="1"/>
    <w:qFormat/>
    <w:uiPriority w:val="34"/>
    <w:pPr>
      <w:spacing w:after="200" w:line="276" w:lineRule="auto"/>
      <w:ind w:firstLine="420" w:firstLineChars="200"/>
    </w:pPr>
    <w:rPr>
      <w:rFonts w:eastAsia="宋体"/>
      <w:szCs w:val="22"/>
      <w:lang w:val="en-US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CE2479-7186-4EB1-A0BE-072512EBAF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</Company>
  <Pages>3</Pages>
  <Words>742</Words>
  <Characters>4232</Characters>
  <Lines>35</Lines>
  <Paragraphs>9</Paragraphs>
  <TotalTime>3</TotalTime>
  <ScaleCrop>false</ScaleCrop>
  <LinksUpToDate>false</LinksUpToDate>
  <CharactersWithSpaces>4965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2021-01-18T01:45:00Z</dcterms:created>
  <dc:creator>ZTE</dc:creator>
  <cp:keywords>NR, Layer 1</cp:keywords>
  <cp:lastModifiedBy>ZTE-YK1</cp:lastModifiedBy>
  <dcterms:modified xsi:type="dcterms:W3CDTF">2022-09-30T02:17:50Z</dcterms:modified>
  <dc:subject>NR; Multiplexing and channel coding (Release 15)</dc:subject>
  <dc:title>3GPP TS 38.212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2052-11.8.2.9022</vt:lpwstr>
  </property>
</Properties>
</file>